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D997B" w14:textId="77777777" w:rsidR="004209D2" w:rsidRDefault="004209D2" w:rsidP="004209D2">
      <w:pPr>
        <w:spacing w:after="200" w:line="278" w:lineRule="auto"/>
        <w:ind w:left="2124" w:firstLine="708"/>
        <w:rPr>
          <w:rFonts w:ascii="Calibri" w:eastAsia="Calibri" w:hAnsi="Calibri" w:cs="Calibri"/>
          <w:b/>
          <w:bCs/>
          <w:sz w:val="32"/>
          <w:szCs w:val="32"/>
        </w:rPr>
      </w:pPr>
      <w:r>
        <w:rPr>
          <w:rFonts w:ascii="Calibri" w:eastAsia="Calibri" w:hAnsi="Calibri" w:cs="Calibri"/>
          <w:b/>
          <w:bCs/>
          <w:sz w:val="32"/>
          <w:szCs w:val="32"/>
        </w:rPr>
        <w:t xml:space="preserve">PRÍLOHA </w:t>
      </w:r>
    </w:p>
    <w:p w14:paraId="1EB5F7FA" w14:textId="77777777" w:rsidR="004209D2" w:rsidRDefault="004209D2" w:rsidP="004209D2">
      <w:pPr>
        <w:spacing w:after="160" w:line="278" w:lineRule="auto"/>
        <w:jc w:val="both"/>
        <w:rPr>
          <w:rFonts w:ascii="Calibri" w:eastAsia="Calibri" w:hAnsi="Calibri" w:cs="Calibri"/>
          <w:b/>
          <w:bCs/>
          <w:sz w:val="32"/>
          <w:szCs w:val="32"/>
        </w:rPr>
      </w:pPr>
    </w:p>
    <w:p w14:paraId="45F6E1B3" w14:textId="77777777" w:rsidR="004209D2" w:rsidRDefault="004209D2" w:rsidP="004209D2">
      <w:pPr>
        <w:spacing w:after="160" w:line="278" w:lineRule="auto"/>
        <w:jc w:val="both"/>
        <w:rPr>
          <w:sz w:val="28"/>
          <w:szCs w:val="28"/>
        </w:rPr>
      </w:pPr>
      <w:r>
        <w:rPr>
          <w:rFonts w:ascii="Calibri" w:eastAsia="Calibri" w:hAnsi="Calibri" w:cs="Calibri"/>
          <w:b/>
          <w:bCs/>
          <w:sz w:val="28"/>
          <w:szCs w:val="28"/>
          <w:u w:val="single"/>
        </w:rPr>
        <w:t>Vyhlásenie Centra biológie rastlín a biodiverzity SAV, v. v. i., k prijatému nariadeniu o NGT</w:t>
      </w:r>
      <w:r>
        <w:rPr>
          <w:rFonts w:ascii="Calibri" w:eastAsia="Calibri" w:hAnsi="Calibri" w:cs="Calibri"/>
          <w:b/>
          <w:bCs/>
          <w:sz w:val="28"/>
          <w:szCs w:val="28"/>
        </w:rPr>
        <w:t>:</w:t>
      </w:r>
    </w:p>
    <w:p w14:paraId="2B3D6C7E" w14:textId="77777777" w:rsidR="004209D2" w:rsidRDefault="004209D2" w:rsidP="004209D2">
      <w:pPr>
        <w:spacing w:after="160" w:line="278" w:lineRule="auto"/>
        <w:jc w:val="both"/>
      </w:pPr>
      <w:r>
        <w:rPr>
          <w:rFonts w:ascii="Calibri" w:eastAsia="Calibri" w:hAnsi="Calibri" w:cs="Calibri"/>
          <w:sz w:val="24"/>
          <w:szCs w:val="24"/>
        </w:rPr>
        <w:t xml:space="preserve">Centrum biológie rastlín a biodiverzity Slovenskej akadémie vied (CBRB SAV), v. v. i., podporuje inovácie, vrátane biotechnológií a nových </w:t>
      </w:r>
      <w:proofErr w:type="spellStart"/>
      <w:r>
        <w:rPr>
          <w:rFonts w:ascii="Calibri" w:eastAsia="Calibri" w:hAnsi="Calibri" w:cs="Calibri"/>
          <w:sz w:val="24"/>
          <w:szCs w:val="24"/>
        </w:rPr>
        <w:t>genómových</w:t>
      </w:r>
      <w:proofErr w:type="spellEnd"/>
      <w:r>
        <w:rPr>
          <w:rFonts w:ascii="Calibri" w:eastAsia="Calibri" w:hAnsi="Calibri" w:cs="Calibri"/>
          <w:sz w:val="24"/>
          <w:szCs w:val="24"/>
        </w:rPr>
        <w:t xml:space="preserve"> techník, ktoré boli 17. júna 2026 schválené Európskym parlamentom prostredníctvom „NARIADENIA EURÓPSKEHO PARLAMENTU A RADY (EÚ) 2026/1388 o rastlinách získaných určitými novými </w:t>
      </w:r>
      <w:proofErr w:type="spellStart"/>
      <w:r>
        <w:rPr>
          <w:rFonts w:ascii="Calibri" w:eastAsia="Calibri" w:hAnsi="Calibri" w:cs="Calibri"/>
          <w:sz w:val="24"/>
          <w:szCs w:val="24"/>
        </w:rPr>
        <w:t>genómovými</w:t>
      </w:r>
      <w:proofErr w:type="spellEnd"/>
      <w:r>
        <w:rPr>
          <w:rFonts w:ascii="Calibri" w:eastAsia="Calibri" w:hAnsi="Calibri" w:cs="Calibri"/>
          <w:sz w:val="24"/>
          <w:szCs w:val="24"/>
        </w:rPr>
        <w:t xml:space="preserve"> technikami a o produktoch z nich a o zmene nariadenia (EÚ) 2017/625“ (ďalej len Nariadenie). Tieto šľachtiteľské postupy majú potenciál prispieť k udržateľnému a ekologickému poľnohospodárstvu s ohľadom na ochranu biodiverzity a produkciu bezpečných potravín a krmív. CBRB SAV, v. v. i. zároveň zdôrazňuje význam rozvoja vedy a výskumu v oblasti biológie rastlín s aplikačným potenciálom pre šľachtiteľskú prax.</w:t>
      </w:r>
    </w:p>
    <w:p w14:paraId="6E77D6CB" w14:textId="77777777" w:rsidR="004209D2" w:rsidRDefault="004209D2" w:rsidP="004209D2">
      <w:pPr>
        <w:spacing w:after="160" w:line="278" w:lineRule="auto"/>
        <w:jc w:val="both"/>
      </w:pPr>
      <w:r>
        <w:rPr>
          <w:rFonts w:ascii="Calibri" w:eastAsia="Calibri" w:hAnsi="Calibri" w:cs="Calibri"/>
          <w:sz w:val="24"/>
          <w:szCs w:val="24"/>
        </w:rPr>
        <w:t xml:space="preserve">Nariadenie 2026/1388 vytvára spoločný legislatívny rámec pre uvedenie rastlín vyšľachtených novými </w:t>
      </w:r>
      <w:proofErr w:type="spellStart"/>
      <w:r>
        <w:rPr>
          <w:rFonts w:ascii="Calibri" w:eastAsia="Calibri" w:hAnsi="Calibri" w:cs="Calibri"/>
          <w:sz w:val="24"/>
          <w:szCs w:val="24"/>
        </w:rPr>
        <w:t>genómovými</w:t>
      </w:r>
      <w:proofErr w:type="spellEnd"/>
      <w:r>
        <w:rPr>
          <w:rFonts w:ascii="Calibri" w:eastAsia="Calibri" w:hAnsi="Calibri" w:cs="Calibri"/>
          <w:sz w:val="24"/>
          <w:szCs w:val="24"/>
        </w:rPr>
        <w:t xml:space="preserve"> technikami (NGT) na európsky trh, s cieľom posilniť  konkurencieschopnosť európskych farmárov a umožniť pestovanie a tvorbu odrôd v odpovedi na </w:t>
      </w:r>
      <w:proofErr w:type="spellStart"/>
      <w:r>
        <w:rPr>
          <w:rFonts w:ascii="Calibri" w:eastAsia="Calibri" w:hAnsi="Calibri" w:cs="Calibri"/>
          <w:sz w:val="24"/>
          <w:szCs w:val="24"/>
        </w:rPr>
        <w:t>enviromentálne</w:t>
      </w:r>
      <w:proofErr w:type="spellEnd"/>
      <w:r>
        <w:rPr>
          <w:rFonts w:ascii="Calibri" w:eastAsia="Calibri" w:hAnsi="Calibri" w:cs="Calibri"/>
          <w:sz w:val="24"/>
          <w:szCs w:val="24"/>
        </w:rPr>
        <w:t xml:space="preserve"> a ekonomické výzvy.</w:t>
      </w:r>
    </w:p>
    <w:p w14:paraId="06780C5B" w14:textId="77777777" w:rsidR="004209D2" w:rsidRDefault="004209D2" w:rsidP="004209D2">
      <w:pPr>
        <w:spacing w:after="160" w:line="278" w:lineRule="auto"/>
        <w:jc w:val="both"/>
        <w:rPr>
          <w:rFonts w:ascii="Calibri" w:eastAsia="Calibri" w:hAnsi="Calibri" w:cs="Calibri"/>
          <w:sz w:val="24"/>
          <w:szCs w:val="24"/>
        </w:rPr>
      </w:pPr>
      <w:r>
        <w:rPr>
          <w:rFonts w:ascii="Calibri" w:eastAsia="Calibri" w:hAnsi="Calibri" w:cs="Calibri"/>
          <w:sz w:val="24"/>
          <w:szCs w:val="24"/>
        </w:rPr>
        <w:t>Schvaľovaniu predchádzal proces odborných diskusií a posudzovaní, do ktorých sa zapojili vedci z viac ako 150 vedeckých inštitúcií z 25 európskych krajín (stretávajúci sa napríklad v sieti EU-SAGE), odborné stanoviská Európskeho úradu pre bezpečnosť potravín (EFSA), ako aj intenzívne legislatívne vyjednávania medzi Európskym parlamentom, Radou a Komisiou.</w:t>
      </w:r>
    </w:p>
    <w:p w14:paraId="467EB408" w14:textId="77777777" w:rsidR="004209D2" w:rsidRDefault="004209D2" w:rsidP="004209D2">
      <w:pPr>
        <w:spacing w:after="160" w:line="278" w:lineRule="auto"/>
        <w:jc w:val="both"/>
      </w:pPr>
      <w:r>
        <w:rPr>
          <w:rFonts w:ascii="Calibri" w:eastAsia="Calibri" w:hAnsi="Calibri" w:cs="Calibri"/>
          <w:sz w:val="24"/>
          <w:szCs w:val="24"/>
        </w:rPr>
        <w:t>Podobné plodiny sa postupne dostávajú na trh v krajinách mimo EÚ. Napríklad v Anglicku je už pestovanie a spracovanie takýchto rastlín možné na základe národnej legislatívy „</w:t>
      </w:r>
      <w:proofErr w:type="spellStart"/>
      <w:r>
        <w:rPr>
          <w:rFonts w:ascii="Calibri" w:eastAsia="Calibri" w:hAnsi="Calibri" w:cs="Calibri"/>
          <w:sz w:val="24"/>
          <w:szCs w:val="24"/>
        </w:rPr>
        <w:t>Precision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Breeding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Act</w:t>
      </w:r>
      <w:proofErr w:type="spellEnd"/>
      <w:r>
        <w:rPr>
          <w:rFonts w:ascii="Calibri" w:eastAsia="Calibri" w:hAnsi="Calibri" w:cs="Calibri"/>
          <w:sz w:val="24"/>
          <w:szCs w:val="24"/>
        </w:rPr>
        <w:t xml:space="preserve"> 2023“.</w:t>
      </w:r>
    </w:p>
    <w:p w14:paraId="05CD80DC" w14:textId="77777777" w:rsidR="004209D2" w:rsidRDefault="004209D2" w:rsidP="004209D2">
      <w:pPr>
        <w:spacing w:after="160" w:line="278" w:lineRule="auto"/>
        <w:jc w:val="both"/>
      </w:pPr>
      <w:r>
        <w:rPr>
          <w:rFonts w:ascii="Calibri" w:eastAsia="Calibri" w:hAnsi="Calibri" w:cs="Calibri"/>
          <w:sz w:val="24"/>
          <w:szCs w:val="24"/>
        </w:rPr>
        <w:t xml:space="preserve">Vývoj NGT rastlín je vyústením dlhodobého celosvetového výskumu rastlinných genómov a funkcií génov. Za posledné roky tiež došlo k výraznému pokroku v oblasti cielenej </w:t>
      </w:r>
      <w:proofErr w:type="spellStart"/>
      <w:r>
        <w:rPr>
          <w:rFonts w:ascii="Calibri" w:eastAsia="Calibri" w:hAnsi="Calibri" w:cs="Calibri"/>
          <w:sz w:val="24"/>
          <w:szCs w:val="24"/>
        </w:rPr>
        <w:t>mutagenézy</w:t>
      </w:r>
      <w:proofErr w:type="spellEnd"/>
      <w:r>
        <w:rPr>
          <w:rFonts w:ascii="Calibri" w:eastAsia="Calibri" w:hAnsi="Calibri" w:cs="Calibri"/>
          <w:sz w:val="24"/>
          <w:szCs w:val="24"/>
        </w:rPr>
        <w:t xml:space="preserve"> rastlín, predovšetkým prostredníctvom CRISPR/</w:t>
      </w:r>
      <w:proofErr w:type="spellStart"/>
      <w:r>
        <w:rPr>
          <w:rFonts w:ascii="Calibri" w:eastAsia="Calibri" w:hAnsi="Calibri" w:cs="Calibri"/>
          <w:sz w:val="24"/>
          <w:szCs w:val="24"/>
        </w:rPr>
        <w:t>Cas</w:t>
      </w:r>
      <w:proofErr w:type="spellEnd"/>
      <w:r>
        <w:rPr>
          <w:rFonts w:ascii="Calibri" w:eastAsia="Calibri" w:hAnsi="Calibri" w:cs="Calibri"/>
          <w:sz w:val="24"/>
          <w:szCs w:val="24"/>
        </w:rPr>
        <w:t xml:space="preserve"> techník. Tieto nástroje umožňujú preklenúť limity konvenčných šľachtiteľských postupov, akými sú dlhoročné kríženie a selekcia rastlín s požadovanými vlastnosťami, náhodná </w:t>
      </w:r>
      <w:proofErr w:type="spellStart"/>
      <w:r>
        <w:rPr>
          <w:rFonts w:ascii="Calibri" w:eastAsia="Calibri" w:hAnsi="Calibri" w:cs="Calibri"/>
          <w:sz w:val="24"/>
          <w:szCs w:val="24"/>
        </w:rPr>
        <w:t>mutagenéza</w:t>
      </w:r>
      <w:proofErr w:type="spellEnd"/>
      <w:r>
        <w:rPr>
          <w:rFonts w:ascii="Calibri" w:eastAsia="Calibri" w:hAnsi="Calibri" w:cs="Calibri"/>
          <w:sz w:val="24"/>
          <w:szCs w:val="24"/>
        </w:rPr>
        <w:t xml:space="preserve">, prípadne moderné, avšak stále náročné postupy, ako je napríklad markermi-asistovaná selekcia. Cielené editovanie génov a </w:t>
      </w:r>
      <w:proofErr w:type="spellStart"/>
      <w:r>
        <w:rPr>
          <w:rFonts w:ascii="Calibri" w:eastAsia="Calibri" w:hAnsi="Calibri" w:cs="Calibri"/>
          <w:sz w:val="24"/>
          <w:szCs w:val="24"/>
        </w:rPr>
        <w:t>cisgenéza</w:t>
      </w:r>
      <w:proofErr w:type="spellEnd"/>
      <w:r>
        <w:rPr>
          <w:rFonts w:ascii="Calibri" w:eastAsia="Calibri" w:hAnsi="Calibri" w:cs="Calibri"/>
          <w:sz w:val="24"/>
          <w:szCs w:val="24"/>
        </w:rPr>
        <w:t xml:space="preserve"> (vloženie genetického materiálu, ktorý sa už nachádza v genofonde dostupnom pre konvenčné šľachtenie) tak umožňujú efektívnejší vývoj odrôd s vlastnosťami, akými sú zvýšená odolnosť voči ochoreniam rastlín a abiotickým stresom (vysoké teploty, sucho, mráz, zasolenie, kontaminácia pôdy, atď.). V oblasti produkcie potravín a krmív ide zase o plodiny s cielene upravenými nutričnými vlastnosťami (obsah minerálov, lipidov, antioxidantov, </w:t>
      </w:r>
      <w:proofErr w:type="spellStart"/>
      <w:r>
        <w:rPr>
          <w:rFonts w:ascii="Calibri" w:eastAsia="Calibri" w:hAnsi="Calibri" w:cs="Calibri"/>
          <w:sz w:val="24"/>
          <w:szCs w:val="24"/>
        </w:rPr>
        <w:t>gluténu</w:t>
      </w:r>
      <w:proofErr w:type="spellEnd"/>
      <w:r>
        <w:rPr>
          <w:rFonts w:ascii="Calibri" w:eastAsia="Calibri" w:hAnsi="Calibri" w:cs="Calibri"/>
          <w:sz w:val="24"/>
          <w:szCs w:val="24"/>
        </w:rPr>
        <w:t xml:space="preserve">,  zvýšená stráviteľnosť živín, zníženie obsahu prirodzených toxických metabolitov). </w:t>
      </w:r>
      <w:r>
        <w:rPr>
          <w:rFonts w:ascii="Calibri" w:eastAsia="Calibri" w:hAnsi="Calibri" w:cs="Calibri"/>
          <w:sz w:val="24"/>
          <w:szCs w:val="24"/>
        </w:rPr>
        <w:lastRenderedPageBreak/>
        <w:t>Tieto ciele musia byť napĺňané v súlade so stratégiami zameranými na zníženie ekologickej záťaže, napríklad na obmedzenie používania chemických prípravkov na ochranu rastlín a na ochranu biodiverzity, ako to predpokladá samotné Nariadenie. Od úspešnej implementácie Nariadenia sa tiež očakáva podpora a rozvoj vedy a výskumu s aplikáciami do šľachtiteľskej a poľnohospodárskej praxe na národných úrovniach.</w:t>
      </w:r>
    </w:p>
    <w:p w14:paraId="37D52541" w14:textId="77777777" w:rsidR="004209D2" w:rsidRDefault="004209D2" w:rsidP="004209D2">
      <w:pPr>
        <w:spacing w:after="160" w:line="278" w:lineRule="auto"/>
        <w:jc w:val="both"/>
      </w:pPr>
      <w:r>
        <w:rPr>
          <w:rFonts w:ascii="Calibri" w:eastAsia="Calibri" w:hAnsi="Calibri" w:cs="Calibri"/>
          <w:sz w:val="24"/>
          <w:szCs w:val="24"/>
        </w:rPr>
        <w:t xml:space="preserve">V Nariadení sa definujú dve kategórie rastlín získaných novými </w:t>
      </w:r>
      <w:proofErr w:type="spellStart"/>
      <w:r>
        <w:rPr>
          <w:rFonts w:ascii="Calibri" w:eastAsia="Calibri" w:hAnsi="Calibri" w:cs="Calibri"/>
          <w:sz w:val="24"/>
          <w:szCs w:val="24"/>
        </w:rPr>
        <w:t>genómovými</w:t>
      </w:r>
      <w:proofErr w:type="spellEnd"/>
      <w:r>
        <w:rPr>
          <w:rFonts w:ascii="Calibri" w:eastAsia="Calibri" w:hAnsi="Calibri" w:cs="Calibri"/>
          <w:sz w:val="24"/>
          <w:szCs w:val="24"/>
        </w:rPr>
        <w:t xml:space="preserve"> technikami, tzv. NGT1 a NGT2 rastliny.</w:t>
      </w:r>
    </w:p>
    <w:p w14:paraId="07030456" w14:textId="77777777" w:rsidR="004209D2" w:rsidRDefault="004209D2" w:rsidP="004209D2">
      <w:pPr>
        <w:spacing w:after="160" w:line="278" w:lineRule="auto"/>
        <w:jc w:val="both"/>
        <w:rPr>
          <w:rFonts w:ascii="Calibri" w:eastAsia="Calibri" w:hAnsi="Calibri" w:cs="Calibri"/>
          <w:sz w:val="24"/>
          <w:szCs w:val="24"/>
        </w:rPr>
      </w:pPr>
      <w:r>
        <w:rPr>
          <w:rFonts w:ascii="Calibri" w:eastAsia="Calibri" w:hAnsi="Calibri" w:cs="Calibri"/>
          <w:sz w:val="24"/>
          <w:szCs w:val="24"/>
        </w:rPr>
        <w:t xml:space="preserve">NGT1 rastliny spĺňajú zákonné kritériá ekvivalencie s konvenčne šľachtenými rastlinami. Pri každej NGT1 rastline sa hodnotí povaha a rozsah zavedených úprav v genóme. Kritériá sú presne definované na základe súčasného vedeckého poznania o mutáciách a zmenách v organizácii genómu ktoré sa vyskytujú v prírode alebo nastávajú pri krížení a ďalších konvenčných spôsoboch šľachtenia. Správy EFSA konštatujú že rastliny zaradené do kategórie NGT1 nepredstavujú dodatočné riziká oproti konvenčne šľachteným plodinám. Pred uvedením na trh musia prejsť verifikačným procesom a katalogizáciou vo verejných databázach. </w:t>
      </w:r>
    </w:p>
    <w:p w14:paraId="19CA02EE" w14:textId="77777777" w:rsidR="004209D2" w:rsidRDefault="004209D2" w:rsidP="004209D2">
      <w:pPr>
        <w:spacing w:after="160" w:line="278" w:lineRule="auto"/>
        <w:jc w:val="both"/>
      </w:pPr>
      <w:r>
        <w:rPr>
          <w:rFonts w:ascii="Calibri" w:eastAsia="Calibri" w:hAnsi="Calibri" w:cs="Calibri"/>
          <w:sz w:val="24"/>
          <w:szCs w:val="24"/>
        </w:rPr>
        <w:t>Do kategórie NGT1 však nebude možné zaradiť rastliny so získanou rezistenciou voči herbicídom a rastliny produkujúce insekticídne látky. Z kategórie 1 môžu byť vylúčené aj rastliny vykazujúce zásadné zmeny fenotypu napriek tomu, že spĺňajú kritériá rozsahu zavedených zmien. Zároveň sú NGT1 rastliny vylúčené z tzv. organickej/ekologickej poľnohospodárskej produkcie. Zmeny v DNA, ktoré takéto rastliny získajú, sú laboratórne nerozlíšiteľné od zmien vznikajúcich pri prirodzenom krížení či klasickom šľachtení. Podľa dostupných experimentálnych dát je miera neúmyselných mutácií pri konvenčnom šľachtení dokonca vyššia než pri využití NGT.</w:t>
      </w:r>
    </w:p>
    <w:p w14:paraId="75DF13F6" w14:textId="77777777" w:rsidR="004209D2" w:rsidRDefault="004209D2" w:rsidP="004209D2">
      <w:pPr>
        <w:spacing w:after="160" w:line="278" w:lineRule="auto"/>
        <w:jc w:val="both"/>
      </w:pPr>
      <w:r>
        <w:rPr>
          <w:rFonts w:ascii="Calibri" w:eastAsia="Calibri" w:hAnsi="Calibri" w:cs="Calibri"/>
          <w:sz w:val="24"/>
          <w:szCs w:val="24"/>
        </w:rPr>
        <w:t xml:space="preserve">Rastliny zaradené do kategórie NGT2 budú podliehať prísnym regulačným mechanizmom tak, ako je to v prípade tzv. GMO plodín podľa smernice 2001/18/ES. Ide o rastliny s komplexnejšími úpravami genómu a vlastnosťami mimo zavedeného rámca pre NGT1. NGT2 rastliny musia prejsť prísnym hodnotením potenciálnych rizík, musia byť monitorované – </w:t>
      </w:r>
      <w:proofErr w:type="spellStart"/>
      <w:r>
        <w:rPr>
          <w:rFonts w:ascii="Calibri" w:eastAsia="Calibri" w:hAnsi="Calibri" w:cs="Calibri"/>
          <w:sz w:val="24"/>
          <w:szCs w:val="24"/>
        </w:rPr>
        <w:t>vysledovateľné</w:t>
      </w:r>
      <w:proofErr w:type="spellEnd"/>
      <w:r>
        <w:rPr>
          <w:rFonts w:ascii="Calibri" w:eastAsia="Calibri" w:hAnsi="Calibri" w:cs="Calibri"/>
          <w:sz w:val="24"/>
          <w:szCs w:val="24"/>
        </w:rPr>
        <w:t xml:space="preserve"> a označované. Členské krajiny môžu v súlade s platnou legislatívou obmedziť alebo zakázať ich pestovanie na svojom území.</w:t>
      </w:r>
    </w:p>
    <w:p w14:paraId="0A0DCAB8" w14:textId="77777777" w:rsidR="004209D2" w:rsidRDefault="004209D2" w:rsidP="004209D2">
      <w:pPr>
        <w:spacing w:after="160" w:line="278" w:lineRule="auto"/>
        <w:jc w:val="both"/>
      </w:pPr>
      <w:r>
        <w:rPr>
          <w:rFonts w:ascii="Calibri" w:eastAsia="Calibri" w:hAnsi="Calibri" w:cs="Calibri"/>
          <w:sz w:val="24"/>
          <w:szCs w:val="24"/>
        </w:rPr>
        <w:t>Kritériá pre posúdenie, či daná rastlina môže byť zaradená do kategórie NGT1 alebo NGT2 vypracoval panel odborníkov EFSA v spolupráci s EURL na základe súčasného vedeckého poznania a s ohľadom na princíp predbežnej opatrnosti. Na národnej úrovni budú tieto rastliny podliehať dohľadu kontrolných orgánov, ktorými sú na Slovensku príslušné ministerstvá a Ústredný kontrolný a skúšobný ústav poľnohospodársky.</w:t>
      </w:r>
    </w:p>
    <w:p w14:paraId="4E269C2E" w14:textId="77777777" w:rsidR="004209D2" w:rsidRDefault="004209D2" w:rsidP="004209D2">
      <w:pPr>
        <w:spacing w:after="160" w:line="278" w:lineRule="auto"/>
        <w:jc w:val="both"/>
      </w:pPr>
      <w:r>
        <w:rPr>
          <w:rFonts w:ascii="Calibri" w:eastAsia="Calibri" w:hAnsi="Calibri" w:cs="Calibri"/>
          <w:sz w:val="24"/>
          <w:szCs w:val="24"/>
        </w:rPr>
        <w:t xml:space="preserve">Nariadenie tiež definuje zásady pre vlastnícke vzťahy, patentovanie a udeľovanie licencií pre NGT rastliny. Z hľadiska SAV a CBRB SAV, v. v. i. je dôležitý otvorený prístup k biologickému materiálu pre potreby výskumu a vývoja. Pri NGT rastlinách je možné patentovať konkrétne znaky a úpravy v sekvenciách DNA. Podľa platnej legislatívy však nie je možné patentovať </w:t>
      </w:r>
      <w:r>
        <w:rPr>
          <w:rFonts w:ascii="Calibri" w:eastAsia="Calibri" w:hAnsi="Calibri" w:cs="Calibri"/>
          <w:sz w:val="24"/>
          <w:szCs w:val="24"/>
        </w:rPr>
        <w:lastRenderedPageBreak/>
        <w:t>znaky a sekvencie, ktoré sa prirodzene vyskytujú v prírode a ktoré vznikajú tradičnými biologickými postupmi. Definuje sa tiež povinnosť monitorovať dopad patentovania NGT rastlín na prístup k osivám pre malé a stredné podniky, ako aj pre drobných šľachtiteľov. V prípade náznakov monopolizácie trhu sa vytvára priestor pre legislatívne nápravy.</w:t>
      </w:r>
    </w:p>
    <w:p w14:paraId="3A42786A" w14:textId="77777777" w:rsidR="004209D2" w:rsidRDefault="004209D2" w:rsidP="004209D2">
      <w:pPr>
        <w:spacing w:after="160" w:line="278" w:lineRule="auto"/>
        <w:jc w:val="both"/>
      </w:pPr>
      <w:r>
        <w:rPr>
          <w:rFonts w:ascii="Calibri" w:eastAsia="Calibri" w:hAnsi="Calibri" w:cs="Calibri"/>
          <w:sz w:val="24"/>
          <w:szCs w:val="24"/>
        </w:rPr>
        <w:t>Hoci poslanci Slovenskej republiky v Európskom parlamente vyjadrili k Nariadeniu odmietavý postoj, schválené Nariadenie platí priamo vo všetkých členských štátoch EÚ. SAV spolu s ďalšími výskumnými inštitúciami a univerzitami na Slovensku disponuje odbornými kapacitami a má ambíciu aktívne sa podieľať na výskume, vývoji aj implementácii NGT technológií. Pre Slovenskú republiku bude kľúčové využiť vytvorený rámec nielen pre kontrolu a monitoring, ale aj pre podporu domáceho výskumu, šľachtiteľskej praxe a následné uvádzanie produktov na trh.</w:t>
      </w:r>
    </w:p>
    <w:p w14:paraId="68067163" w14:textId="77777777" w:rsidR="00520527" w:rsidRDefault="00520527"/>
    <w:sectPr w:rsidR="00520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D2"/>
    <w:rsid w:val="004209D2"/>
    <w:rsid w:val="00520527"/>
    <w:rsid w:val="00B75559"/>
    <w:rsid w:val="00C82B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EAB1C"/>
  <w15:chartTrackingRefBased/>
  <w15:docId w15:val="{1F511151-1D5D-41BC-A80E-BC46AAB5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9D2"/>
    <w:pPr>
      <w:suppressAutoHyphens/>
      <w:spacing w:after="0" w:line="240" w:lineRule="auto"/>
    </w:pPr>
    <w:rPr>
      <w:rFonts w:ascii="Aptos" w:eastAsiaTheme="minorEastAsia" w:hAnsi="Aptos"/>
      <w:kern w:val="0"/>
      <w:sz w:val="22"/>
      <w:szCs w:val="22"/>
      <w:lang w:eastAsia="sk-SK"/>
      <w14:ligatures w14:val="none"/>
    </w:rPr>
  </w:style>
  <w:style w:type="paragraph" w:styleId="Nadpis1">
    <w:name w:val="heading 1"/>
    <w:basedOn w:val="Normlny"/>
    <w:next w:val="Normlny"/>
    <w:link w:val="Nadpis1Char"/>
    <w:uiPriority w:val="9"/>
    <w:qFormat/>
    <w:rsid w:val="004209D2"/>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4209D2"/>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4209D2"/>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4209D2"/>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dpis5">
    <w:name w:val="heading 5"/>
    <w:basedOn w:val="Normlny"/>
    <w:next w:val="Normlny"/>
    <w:link w:val="Nadpis5Char"/>
    <w:uiPriority w:val="9"/>
    <w:semiHidden/>
    <w:unhideWhenUsed/>
    <w:qFormat/>
    <w:rsid w:val="004209D2"/>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dpis6">
    <w:name w:val="heading 6"/>
    <w:basedOn w:val="Normlny"/>
    <w:next w:val="Normlny"/>
    <w:link w:val="Nadpis6Char"/>
    <w:uiPriority w:val="9"/>
    <w:semiHidden/>
    <w:unhideWhenUsed/>
    <w:qFormat/>
    <w:rsid w:val="004209D2"/>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dpis7">
    <w:name w:val="heading 7"/>
    <w:basedOn w:val="Normlny"/>
    <w:next w:val="Normlny"/>
    <w:link w:val="Nadpis7Char"/>
    <w:uiPriority w:val="9"/>
    <w:semiHidden/>
    <w:unhideWhenUsed/>
    <w:qFormat/>
    <w:rsid w:val="004209D2"/>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dpis8">
    <w:name w:val="heading 8"/>
    <w:basedOn w:val="Normlny"/>
    <w:next w:val="Normlny"/>
    <w:link w:val="Nadpis8Char"/>
    <w:uiPriority w:val="9"/>
    <w:semiHidden/>
    <w:unhideWhenUsed/>
    <w:qFormat/>
    <w:rsid w:val="004209D2"/>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dpis9">
    <w:name w:val="heading 9"/>
    <w:basedOn w:val="Normlny"/>
    <w:next w:val="Normlny"/>
    <w:link w:val="Nadpis9Char"/>
    <w:uiPriority w:val="9"/>
    <w:semiHidden/>
    <w:unhideWhenUsed/>
    <w:qFormat/>
    <w:rsid w:val="004209D2"/>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209D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209D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209D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209D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209D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209D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209D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209D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209D2"/>
    <w:rPr>
      <w:rFonts w:eastAsiaTheme="majorEastAsia" w:cstheme="majorBidi"/>
      <w:color w:val="272727" w:themeColor="text1" w:themeTint="D8"/>
    </w:rPr>
  </w:style>
  <w:style w:type="paragraph" w:styleId="Nzov">
    <w:name w:val="Title"/>
    <w:basedOn w:val="Normlny"/>
    <w:next w:val="Normlny"/>
    <w:link w:val="NzovChar"/>
    <w:uiPriority w:val="10"/>
    <w:qFormat/>
    <w:rsid w:val="004209D2"/>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4209D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209D2"/>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4209D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209D2"/>
    <w:pPr>
      <w:suppressAutoHyphens w:val="0"/>
      <w:spacing w:before="160" w:after="160" w:line="278" w:lineRule="auto"/>
      <w:jc w:val="center"/>
    </w:pPr>
    <w:rPr>
      <w:rFonts w:asciiTheme="minorHAnsi" w:eastAsiaTheme="minorHAnsi" w:hAnsiTheme="minorHAnsi"/>
      <w:i/>
      <w:iCs/>
      <w:color w:val="404040" w:themeColor="text1" w:themeTint="BF"/>
      <w:kern w:val="2"/>
      <w:sz w:val="24"/>
      <w:szCs w:val="24"/>
      <w:lang w:eastAsia="en-US"/>
      <w14:ligatures w14:val="standardContextual"/>
    </w:rPr>
  </w:style>
  <w:style w:type="character" w:customStyle="1" w:styleId="CitciaChar">
    <w:name w:val="Citácia Char"/>
    <w:basedOn w:val="Predvolenpsmoodseku"/>
    <w:link w:val="Citcia"/>
    <w:uiPriority w:val="29"/>
    <w:rsid w:val="004209D2"/>
    <w:rPr>
      <w:i/>
      <w:iCs/>
      <w:color w:val="404040" w:themeColor="text1" w:themeTint="BF"/>
    </w:rPr>
  </w:style>
  <w:style w:type="paragraph" w:styleId="Odsekzoznamu">
    <w:name w:val="List Paragraph"/>
    <w:basedOn w:val="Normlny"/>
    <w:uiPriority w:val="34"/>
    <w:qFormat/>
    <w:rsid w:val="004209D2"/>
    <w:pPr>
      <w:suppressAutoHyphens w:val="0"/>
      <w:spacing w:after="160" w:line="278" w:lineRule="auto"/>
      <w:ind w:left="720"/>
      <w:contextualSpacing/>
    </w:pPr>
    <w:rPr>
      <w:rFonts w:asciiTheme="minorHAnsi" w:eastAsiaTheme="minorHAnsi" w:hAnsiTheme="minorHAnsi"/>
      <w:kern w:val="2"/>
      <w:sz w:val="24"/>
      <w:szCs w:val="24"/>
      <w:lang w:eastAsia="en-US"/>
      <w14:ligatures w14:val="standardContextual"/>
    </w:rPr>
  </w:style>
  <w:style w:type="character" w:styleId="Intenzvnezvraznenie">
    <w:name w:val="Intense Emphasis"/>
    <w:basedOn w:val="Predvolenpsmoodseku"/>
    <w:uiPriority w:val="21"/>
    <w:qFormat/>
    <w:rsid w:val="004209D2"/>
    <w:rPr>
      <w:i/>
      <w:iCs/>
      <w:color w:val="0F4761" w:themeColor="accent1" w:themeShade="BF"/>
    </w:rPr>
  </w:style>
  <w:style w:type="paragraph" w:styleId="Zvraznencitcia">
    <w:name w:val="Intense Quote"/>
    <w:basedOn w:val="Normlny"/>
    <w:next w:val="Normlny"/>
    <w:link w:val="ZvraznencitciaChar"/>
    <w:uiPriority w:val="30"/>
    <w:qFormat/>
    <w:rsid w:val="004209D2"/>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eastAsia="en-US"/>
      <w14:ligatures w14:val="standardContextual"/>
    </w:rPr>
  </w:style>
  <w:style w:type="character" w:customStyle="1" w:styleId="ZvraznencitciaChar">
    <w:name w:val="Zvýraznená citácia Char"/>
    <w:basedOn w:val="Predvolenpsmoodseku"/>
    <w:link w:val="Zvraznencitcia"/>
    <w:uiPriority w:val="30"/>
    <w:rsid w:val="004209D2"/>
    <w:rPr>
      <w:i/>
      <w:iCs/>
      <w:color w:val="0F4761" w:themeColor="accent1" w:themeShade="BF"/>
    </w:rPr>
  </w:style>
  <w:style w:type="character" w:styleId="Zvraznenodkaz">
    <w:name w:val="Intense Reference"/>
    <w:basedOn w:val="Predvolenpsmoodseku"/>
    <w:uiPriority w:val="32"/>
    <w:qFormat/>
    <w:rsid w:val="004209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998</Words>
  <Characters>5694</Characters>
  <Application>Microsoft Office Word</Application>
  <DocSecurity>0</DocSecurity>
  <Lines>47</Lines>
  <Paragraphs>13</Paragraphs>
  <ScaleCrop>false</ScaleCrop>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Nozdrovická</dc:creator>
  <cp:keywords/>
  <dc:description/>
  <cp:lastModifiedBy>Andrea Nozdrovická</cp:lastModifiedBy>
  <cp:revision>1</cp:revision>
  <dcterms:created xsi:type="dcterms:W3CDTF">2026-08-18T12:35:00Z</dcterms:created>
  <dcterms:modified xsi:type="dcterms:W3CDTF">2026-08-18T12:36:00Z</dcterms:modified>
</cp:coreProperties>
</file>